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D9" w:rsidRPr="00BB4DD9" w:rsidRDefault="00BB4DD9" w:rsidP="00BB4DD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BB4DD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7.2. ВИДЫ НОРМ ПРОИЗВОДСТВЕННЫХ ЗАПАСОВ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Важным условием правильного формирования и рационального использования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запасов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является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" w:tooltip="Нормирование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нормирование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7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запасов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8" w:tooltip="Расход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расходов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Нормы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9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характеризуют минимальные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0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1" w:tooltip="Материальные ценности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материальных ценностей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, которые необходимы предприятию для нормальной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2" w:tooltip="Производственная деятельность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производственной деятельности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 определяются в днях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3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или в рублях.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4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5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вычисляются для каждого вида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6" w:tooltip="Сырье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сырья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7" w:tooltip="Материал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материалов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Различают следующие виды норм производственных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18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запасов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: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  подготовительные,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 текущие,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 страховые,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 сезонные,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  резервные,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 серийные,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  переходящие.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b/>
          <w:bCs/>
          <w:i/>
          <w:iCs/>
          <w:color w:val="000000"/>
          <w:sz w:val="13"/>
          <w:szCs w:val="13"/>
          <w:lang w:eastAsia="ru-RU"/>
        </w:rPr>
        <w:t>Норма производственного</w:t>
      </w:r>
      <w:r w:rsidRPr="00BB4DD9"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ru-RU"/>
        </w:rPr>
        <w:t> </w:t>
      </w:r>
      <w:hyperlink r:id="rId19" w:tooltip="Запасы" w:history="1">
        <w:r w:rsidRPr="00BB4DD9">
          <w:rPr>
            <w:rFonts w:ascii="Arial" w:eastAsia="Times New Roman" w:hAnsi="Arial" w:cs="Arial"/>
            <w:b/>
            <w:bCs/>
            <w:i/>
            <w:iCs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i/>
          <w:iCs/>
          <w:color w:val="000000"/>
          <w:sz w:val="13"/>
          <w:szCs w:val="13"/>
          <w:lang w:eastAsia="ru-RU"/>
        </w:rPr>
        <w:t>—</w:t>
      </w:r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это плановая величина (мера) необходимого уровня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0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1" w:tooltip="Материальные ресур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материальных ресурсов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для обеспечения ритмичного процесса производства. Методы расчета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2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производственного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3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дифференцируются в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4" w:tooltip="Зависимость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зависимости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от того, являются они регулярными в течение года или сезонными.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При регулярных поставках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5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производственного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6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определяется как плановая мера среднего уровня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7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между двумя смежными поставками и представляет собой сумму текущего, подготовительного и страхового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8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запасов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 Она рассчитывается с учетом применяемой формы снабжения (транзитной или складской). При транзитной форме снабжения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29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0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определяется по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1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норме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текущей, подготовительной и страховой, при складской форме — </w:t>
      </w:r>
      <w:proofErr w:type="gramStart"/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</w:t>
      </w:r>
      <w:proofErr w:type="gramEnd"/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 текущей и подготовительной.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i/>
          <w:iCs/>
          <w:color w:val="000000"/>
          <w:sz w:val="13"/>
          <w:szCs w:val="13"/>
          <w:lang w:eastAsia="ru-RU"/>
        </w:rPr>
        <w:t>Подготовительная</w:t>
      </w:r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hyperlink r:id="rId32" w:tooltip="Норма" w:history="1">
        <w:r w:rsidRPr="00BB4DD9">
          <w:rPr>
            <w:rFonts w:ascii="Arial" w:eastAsia="Times New Roman" w:hAnsi="Arial" w:cs="Arial"/>
            <w:i/>
            <w:iCs/>
            <w:color w:val="000000"/>
            <w:sz w:val="13"/>
            <w:lang w:eastAsia="ru-RU"/>
          </w:rPr>
          <w:t>норма</w:t>
        </w:r>
      </w:hyperlink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 это часть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3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производственного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4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, обеспечивающая непрерывность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5" w:tooltip="Производственная деятельность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производственной деятельности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 определенный период времени, необходимый для выгрузки, приемки и подготовки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6" w:tooltip="Материал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к запуску в производство.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Подготовительная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7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определяется как сумма периодов времени, необходимых на выполнение операций от подготовки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38" w:tooltip="Материал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к запуску в производство.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i/>
          <w:iCs/>
          <w:color w:val="000000"/>
          <w:sz w:val="13"/>
          <w:szCs w:val="13"/>
          <w:lang w:eastAsia="ru-RU"/>
        </w:rPr>
        <w:t>Текущая</w:t>
      </w:r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hyperlink r:id="rId39" w:tooltip="Норма" w:history="1">
        <w:r w:rsidRPr="00BB4DD9">
          <w:rPr>
            <w:rFonts w:ascii="Arial" w:eastAsia="Times New Roman" w:hAnsi="Arial" w:cs="Arial"/>
            <w:i/>
            <w:iCs/>
            <w:color w:val="000000"/>
            <w:sz w:val="13"/>
            <w:lang w:eastAsia="ru-RU"/>
          </w:rPr>
          <w:t>норма</w:t>
        </w:r>
      </w:hyperlink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— это часть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0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производственного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1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, обеспечивающая непрерывность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2" w:tooltip="Производственная деятельность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производственной деятельности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при равномерном поступлении и расходовании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3" w:tooltip="Материальные ресур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материальных ресурсов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Текущая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4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используется для расчета и анализа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5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производственного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6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 Рассчитывается в следующей последовательности.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1. На основании карточки складского учета определяется частота поставок потребителю в год.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2. Определяется средний интервал между поставками: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Если частота поставок менее 5 дней,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7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текущего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8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может быть равной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49" w:tooltip="Интервал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интервалу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поставки, так как задержка с получением таких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0" w:tooltip="Материал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материалов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всего на один 1 может нарушить бесперебойную работу предприятия.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i/>
          <w:iCs/>
          <w:color w:val="000000"/>
          <w:sz w:val="13"/>
          <w:szCs w:val="13"/>
          <w:lang w:eastAsia="ru-RU"/>
        </w:rPr>
        <w:t>Средний текущий</w:t>
      </w:r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hyperlink r:id="rId51" w:tooltip="Запас" w:history="1">
        <w:r w:rsidRPr="00BB4DD9">
          <w:rPr>
            <w:rFonts w:ascii="Arial" w:eastAsia="Times New Roman" w:hAnsi="Arial" w:cs="Arial"/>
            <w:i/>
            <w:iCs/>
            <w:color w:val="000000"/>
            <w:sz w:val="13"/>
            <w:lang w:eastAsia="ru-RU"/>
          </w:rPr>
          <w:t>запас</w:t>
        </w:r>
      </w:hyperlink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является важным показателем для контроля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2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запасов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, он определяет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3" w:tooltip="Средние величин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среднюю величину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средств, вложенных в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4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5" w:tooltip="Средняя стоимость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среднюю стоимость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их содержания. Такой упрощенный случай в практике не встречается, так как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6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не могут пополняться немедленно из-за колебаний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proofErr w:type="spellStart"/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fldChar w:fldCharType="begin"/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instrText xml:space="preserve"> HYPERLINK "http://www.smartcat.ru/Referat/ttneeramgg/" \o "Интервал" </w:instrTex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fldChar w:fldCharType="separate"/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интервалов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fldChar w:fldCharType="end"/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поставок</w:t>
      </w:r>
      <w:proofErr w:type="spellEnd"/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, а продажа запасных частей нестабильна ввиду колебаний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7" w:tooltip="Спрос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спроса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Для удовлетворения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8" w:tooltip="Спрос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спроса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 любой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59" w:tooltip="Момент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момент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, независимо от задержек в поставках или скачков заказов, в систему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0" w:tooltip="Управление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управления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включают страховые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1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запасы</w:t>
        </w:r>
      </w:hyperlink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i/>
          <w:iCs/>
          <w:color w:val="000000"/>
          <w:sz w:val="13"/>
          <w:szCs w:val="13"/>
          <w:lang w:eastAsia="ru-RU"/>
        </w:rPr>
        <w:t>Страховой</w:t>
      </w:r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hyperlink r:id="rId62" w:tooltip="Запас" w:history="1">
        <w:r w:rsidRPr="00BB4DD9">
          <w:rPr>
            <w:rFonts w:ascii="Arial" w:eastAsia="Times New Roman" w:hAnsi="Arial" w:cs="Arial"/>
            <w:i/>
            <w:iCs/>
            <w:color w:val="000000"/>
            <w:sz w:val="13"/>
            <w:lang w:eastAsia="ru-RU"/>
          </w:rPr>
          <w:t>запас</w:t>
        </w:r>
      </w:hyperlink>
      <w:r w:rsidRPr="00BB4DD9">
        <w:rPr>
          <w:rFonts w:ascii="Arial" w:eastAsia="Times New Roman" w:hAnsi="Arial" w:cs="Arial"/>
          <w:i/>
          <w:iCs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предусмотрен для предупреждения последствий, связанных со сбоями в снабжении, например, задержкой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3" w:tooltip="Материал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материалов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 пути, нарушением поставщиком условий и др.</w:t>
      </w:r>
    </w:p>
    <w:p w:rsidR="00BB4DD9" w:rsidRPr="00BB4DD9" w:rsidRDefault="00BB4DD9" w:rsidP="00BB4D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Норма страхового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4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устанавливается по каждому виду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5" w:tooltip="Материал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материалов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 пределах 30—50% от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6" w:tooltip="Норма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нормы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текущего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7" w:tooltip="Запасы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запаса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в</w:t>
      </w:r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hyperlink r:id="rId68" w:tooltip="Зависимость" w:history="1">
        <w:r w:rsidRPr="00BB4DD9">
          <w:rPr>
            <w:rFonts w:ascii="Arial" w:eastAsia="Times New Roman" w:hAnsi="Arial" w:cs="Arial"/>
            <w:color w:val="000000"/>
            <w:sz w:val="13"/>
            <w:lang w:eastAsia="ru-RU"/>
          </w:rPr>
          <w:t>зависимости</w:t>
        </w:r>
      </w:hyperlink>
      <w:r w:rsidRPr="00BB4DD9">
        <w:rPr>
          <w:rFonts w:ascii="Arial" w:eastAsia="Times New Roman" w:hAnsi="Arial" w:cs="Arial"/>
          <w:color w:val="000000"/>
          <w:sz w:val="13"/>
          <w:lang w:eastAsia="ru-RU"/>
        </w:rPr>
        <w:t> </w:t>
      </w:r>
      <w:r w:rsidRPr="00BB4DD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от частоты поставок, численности и отдаленности поставщиков.</w:t>
      </w:r>
    </w:p>
    <w:p w:rsidR="00A14F4A" w:rsidRDefault="005346E6"/>
    <w:p w:rsidR="00441B01" w:rsidRDefault="00441B01"/>
    <w:p w:rsidR="00441B01" w:rsidRDefault="00441B01"/>
    <w:p w:rsidR="00441B01" w:rsidRDefault="00441B01"/>
    <w:p w:rsidR="00441B01" w:rsidRDefault="00441B01" w:rsidP="00441B01">
      <w:pPr>
        <w:pStyle w:val="3"/>
        <w:shd w:val="clear" w:color="auto" w:fill="FFFFFF"/>
        <w:spacing w:before="0"/>
        <w:rPr>
          <w:rFonts w:ascii="Tahoma" w:hAnsi="Tahoma" w:cs="Tahoma"/>
          <w:color w:val="CC0000"/>
          <w:sz w:val="12"/>
          <w:szCs w:val="12"/>
        </w:rPr>
      </w:pPr>
      <w:r>
        <w:rPr>
          <w:rFonts w:ascii="Tahoma" w:hAnsi="Tahoma" w:cs="Tahoma"/>
          <w:color w:val="CC0000"/>
          <w:sz w:val="12"/>
          <w:szCs w:val="12"/>
        </w:rPr>
        <w:lastRenderedPageBreak/>
        <w:t>Блоки управленческой информации</w:t>
      </w:r>
    </w:p>
    <w:p w:rsidR="00441B01" w:rsidRDefault="00441B01" w:rsidP="00441B01">
      <w:pPr>
        <w:pStyle w:val="a3"/>
        <w:shd w:val="clear" w:color="auto" w:fill="FFFFFF"/>
        <w:spacing w:before="93" w:beforeAutospacing="0" w:after="139" w:afterAutospacing="0" w:line="149" w:lineRule="atLeast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Для руководителей с учетом основных сфер их ответственности и целей, стоящих перед ними, я бы выделила следующие важные блоки управленческой информации, с которой можно работать на регулярной основе:</w:t>
      </w:r>
    </w:p>
    <w:p w:rsidR="00441B01" w:rsidRDefault="00441B01" w:rsidP="00441B01">
      <w:pPr>
        <w:pStyle w:val="4"/>
        <w:shd w:val="clear" w:color="auto" w:fill="FFFFFF"/>
        <w:spacing w:before="0"/>
        <w:rPr>
          <w:rFonts w:ascii="Tahoma" w:hAnsi="Tahoma" w:cs="Tahoma"/>
          <w:b w:val="0"/>
          <w:bCs w:val="0"/>
          <w:color w:val="993333"/>
          <w:sz w:val="12"/>
          <w:szCs w:val="12"/>
        </w:rPr>
      </w:pPr>
      <w:r>
        <w:rPr>
          <w:rFonts w:ascii="Tahoma" w:hAnsi="Tahoma" w:cs="Tahoma"/>
          <w:b w:val="0"/>
          <w:bCs w:val="0"/>
          <w:color w:val="993333"/>
          <w:sz w:val="12"/>
          <w:szCs w:val="12"/>
        </w:rPr>
        <w:t>Директор по производству:</w:t>
      </w:r>
    </w:p>
    <w:p w:rsidR="00441B01" w:rsidRDefault="00441B01" w:rsidP="00441B01">
      <w:pPr>
        <w:numPr>
          <w:ilvl w:val="0"/>
          <w:numId w:val="1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производственная себестоимость производимой продукции или услуг (по видам или по заказам в зависимости от специфики производства);</w:t>
      </w:r>
    </w:p>
    <w:p w:rsidR="00441B01" w:rsidRDefault="00441B01" w:rsidP="00441B01">
      <w:pPr>
        <w:numPr>
          <w:ilvl w:val="0"/>
          <w:numId w:val="1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динамика и структура незавершенного производства;</w:t>
      </w:r>
    </w:p>
    <w:p w:rsidR="00441B01" w:rsidRDefault="00441B01" w:rsidP="00441B01">
      <w:pPr>
        <w:numPr>
          <w:ilvl w:val="0"/>
          <w:numId w:val="1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объемы выпуска продукции по видам и/или заказам (в натуральных показателях);</w:t>
      </w:r>
    </w:p>
    <w:p w:rsidR="00441B01" w:rsidRDefault="00441B01" w:rsidP="00441B01">
      <w:pPr>
        <w:numPr>
          <w:ilvl w:val="0"/>
          <w:numId w:val="1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объемы произведенной продукции, поступающей на склад готовой продукции;</w:t>
      </w:r>
    </w:p>
    <w:p w:rsidR="00441B01" w:rsidRDefault="00441B01" w:rsidP="00441B01">
      <w:pPr>
        <w:numPr>
          <w:ilvl w:val="0"/>
          <w:numId w:val="1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динамика и структура запасов сырья, материалов, комплектующих.</w:t>
      </w:r>
    </w:p>
    <w:p w:rsidR="00441B01" w:rsidRDefault="00441B01" w:rsidP="00441B01">
      <w:pPr>
        <w:pStyle w:val="4"/>
        <w:shd w:val="clear" w:color="auto" w:fill="FFFFFF"/>
        <w:spacing w:before="0"/>
        <w:rPr>
          <w:rFonts w:ascii="Tahoma" w:hAnsi="Tahoma" w:cs="Tahoma"/>
          <w:b w:val="0"/>
          <w:bCs w:val="0"/>
          <w:color w:val="993333"/>
          <w:sz w:val="12"/>
          <w:szCs w:val="12"/>
        </w:rPr>
      </w:pPr>
      <w:r>
        <w:rPr>
          <w:rFonts w:ascii="Tahoma" w:hAnsi="Tahoma" w:cs="Tahoma"/>
          <w:b w:val="0"/>
          <w:bCs w:val="0"/>
          <w:color w:val="993333"/>
          <w:sz w:val="12"/>
          <w:szCs w:val="12"/>
        </w:rPr>
        <w:t>Директор по продажам:</w:t>
      </w:r>
    </w:p>
    <w:p w:rsidR="00441B01" w:rsidRDefault="00441B01" w:rsidP="00441B01">
      <w:pPr>
        <w:numPr>
          <w:ilvl w:val="0"/>
          <w:numId w:val="2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структура продаж по видам продукции, по клиентам, срокам платежей;</w:t>
      </w:r>
    </w:p>
    <w:p w:rsidR="00441B01" w:rsidRDefault="00441B01" w:rsidP="00441B01">
      <w:pPr>
        <w:numPr>
          <w:ilvl w:val="0"/>
          <w:numId w:val="2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динамика реальной отгрузки товаров;</w:t>
      </w:r>
    </w:p>
    <w:p w:rsidR="00441B01" w:rsidRDefault="00441B01" w:rsidP="00441B01">
      <w:pPr>
        <w:numPr>
          <w:ilvl w:val="0"/>
          <w:numId w:val="2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динамика и структура запасов продукции на складе готовой продукции;</w:t>
      </w:r>
    </w:p>
    <w:p w:rsidR="00441B01" w:rsidRDefault="00441B01" w:rsidP="00441B01">
      <w:pPr>
        <w:numPr>
          <w:ilvl w:val="0"/>
          <w:numId w:val="2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затраты на реализацию продукции и доставку ее до потребителя;</w:t>
      </w:r>
    </w:p>
    <w:p w:rsidR="00441B01" w:rsidRDefault="00441B01" w:rsidP="00441B01">
      <w:pPr>
        <w:numPr>
          <w:ilvl w:val="0"/>
          <w:numId w:val="2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план поступления произведенной продукции на склад готовой продукции по дням, неделям;</w:t>
      </w:r>
    </w:p>
    <w:p w:rsidR="00441B01" w:rsidRDefault="00441B01" w:rsidP="00441B01">
      <w:pPr>
        <w:numPr>
          <w:ilvl w:val="0"/>
          <w:numId w:val="2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динамика и структура дебиторской задолженности по проданной продукции.</w:t>
      </w:r>
    </w:p>
    <w:p w:rsidR="00441B01" w:rsidRDefault="00441B01" w:rsidP="00441B01">
      <w:pPr>
        <w:pStyle w:val="4"/>
        <w:shd w:val="clear" w:color="auto" w:fill="FFFFFF"/>
        <w:spacing w:before="0"/>
        <w:rPr>
          <w:rFonts w:ascii="Tahoma" w:hAnsi="Tahoma" w:cs="Tahoma"/>
          <w:b w:val="0"/>
          <w:bCs w:val="0"/>
          <w:color w:val="993333"/>
          <w:sz w:val="12"/>
          <w:szCs w:val="12"/>
        </w:rPr>
      </w:pPr>
      <w:r>
        <w:rPr>
          <w:rFonts w:ascii="Tahoma" w:hAnsi="Tahoma" w:cs="Tahoma"/>
          <w:b w:val="0"/>
          <w:bCs w:val="0"/>
          <w:color w:val="993333"/>
          <w:sz w:val="12"/>
          <w:szCs w:val="12"/>
        </w:rPr>
        <w:t>Финансовый директор:</w:t>
      </w:r>
    </w:p>
    <w:p w:rsidR="00441B01" w:rsidRDefault="00441B01" w:rsidP="00441B01">
      <w:pPr>
        <w:numPr>
          <w:ilvl w:val="0"/>
          <w:numId w:val="3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исполнение бюджета денежных средств, включая поступления и расходы;</w:t>
      </w:r>
    </w:p>
    <w:p w:rsidR="00441B01" w:rsidRDefault="00441B01" w:rsidP="00441B01">
      <w:pPr>
        <w:numPr>
          <w:ilvl w:val="0"/>
          <w:numId w:val="3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затраты подразделений на ведение хозяйственной деятельности;</w:t>
      </w:r>
    </w:p>
    <w:p w:rsidR="00441B01" w:rsidRDefault="00441B01" w:rsidP="00441B01">
      <w:pPr>
        <w:numPr>
          <w:ilvl w:val="0"/>
          <w:numId w:val="3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 xml:space="preserve">величина и структура полной </w:t>
      </w:r>
      <w:proofErr w:type="spellStart"/>
      <w:proofErr w:type="gramStart"/>
      <w:r>
        <w:rPr>
          <w:rFonts w:ascii="Tahoma" w:hAnsi="Tahoma" w:cs="Tahoma"/>
          <w:color w:val="333333"/>
          <w:sz w:val="11"/>
          <w:szCs w:val="11"/>
        </w:rPr>
        <w:t>c</w:t>
      </w:r>
      <w:proofErr w:type="gramEnd"/>
      <w:r>
        <w:rPr>
          <w:rFonts w:ascii="Tahoma" w:hAnsi="Tahoma" w:cs="Tahoma"/>
          <w:color w:val="333333"/>
          <w:sz w:val="11"/>
          <w:szCs w:val="11"/>
        </w:rPr>
        <w:t>ебестоимости</w:t>
      </w:r>
      <w:proofErr w:type="spellEnd"/>
      <w:r>
        <w:rPr>
          <w:rFonts w:ascii="Tahoma" w:hAnsi="Tahoma" w:cs="Tahoma"/>
          <w:color w:val="333333"/>
          <w:sz w:val="11"/>
          <w:szCs w:val="11"/>
        </w:rPr>
        <w:t xml:space="preserve"> производимой продукции или услуг;</w:t>
      </w:r>
    </w:p>
    <w:p w:rsidR="00441B01" w:rsidRDefault="00441B01" w:rsidP="00441B01">
      <w:pPr>
        <w:numPr>
          <w:ilvl w:val="0"/>
          <w:numId w:val="3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отчет о прибылях и убытках;</w:t>
      </w:r>
    </w:p>
    <w:p w:rsidR="00441B01" w:rsidRDefault="00441B01" w:rsidP="00441B01">
      <w:pPr>
        <w:numPr>
          <w:ilvl w:val="0"/>
          <w:numId w:val="3"/>
        </w:numPr>
        <w:shd w:val="clear" w:color="auto" w:fill="FFFFFF"/>
        <w:spacing w:before="100" w:beforeAutospacing="1" w:after="19" w:line="240" w:lineRule="auto"/>
        <w:ind w:left="0"/>
        <w:rPr>
          <w:rFonts w:ascii="Tahoma" w:hAnsi="Tahoma" w:cs="Tahoma"/>
          <w:color w:val="333333"/>
          <w:sz w:val="11"/>
          <w:szCs w:val="11"/>
        </w:rPr>
      </w:pPr>
      <w:r>
        <w:rPr>
          <w:rFonts w:ascii="Tahoma" w:hAnsi="Tahoma" w:cs="Tahoma"/>
          <w:color w:val="333333"/>
          <w:sz w:val="11"/>
          <w:szCs w:val="11"/>
        </w:rPr>
        <w:t>динамика дебиторской и кредиторской задолженности.</w:t>
      </w:r>
    </w:p>
    <w:p w:rsidR="00441B01" w:rsidRDefault="00441B01" w:rsidP="00441B01">
      <w:pPr>
        <w:pStyle w:val="a3"/>
        <w:shd w:val="clear" w:color="auto" w:fill="FFFFFF"/>
        <w:spacing w:before="93" w:beforeAutospacing="0" w:after="139" w:afterAutospacing="0" w:line="149" w:lineRule="atLeast"/>
        <w:rPr>
          <w:rFonts w:ascii="Tahoma" w:hAnsi="Tahoma" w:cs="Tahoma"/>
          <w:color w:val="333333"/>
          <w:sz w:val="11"/>
          <w:szCs w:val="11"/>
        </w:rPr>
      </w:pPr>
      <w:r>
        <w:rPr>
          <w:rStyle w:val="a5"/>
          <w:rFonts w:ascii="Tahoma" w:hAnsi="Tahoma" w:cs="Tahoma"/>
          <w:color w:val="333333"/>
          <w:sz w:val="11"/>
          <w:szCs w:val="11"/>
        </w:rPr>
        <w:t>Генеральному директору</w:t>
      </w:r>
      <w:r>
        <w:rPr>
          <w:rStyle w:val="apple-converted-space"/>
          <w:rFonts w:ascii="Tahoma" w:eastAsiaTheme="majorEastAsia" w:hAnsi="Tahoma" w:cs="Tahoma"/>
          <w:b/>
          <w:bCs/>
          <w:color w:val="333333"/>
          <w:sz w:val="11"/>
          <w:szCs w:val="11"/>
        </w:rPr>
        <w:t> </w:t>
      </w:r>
      <w:r>
        <w:rPr>
          <w:rFonts w:ascii="Tahoma" w:hAnsi="Tahoma" w:cs="Tahoma"/>
          <w:color w:val="333333"/>
          <w:sz w:val="11"/>
          <w:szCs w:val="11"/>
        </w:rPr>
        <w:t>неплохо было бы иметь все блоки информации хотя бы еженедельно, а когда надо внедрять изменения и усовершенствования – то и чаще. Эти блоки можно «свернуть», ведь при необходимости каждый из них может быть раскрыт более детально, подробно. В случае малых и средних предприятий нередка практика, при которой генеральный директор берет на себя часть функций директоров подразделений (например, финансового директора). Тогда ему есть смысл непосредственно работать с развернутыми блоками управленческой информации, предназначенной для соответствующего директора.</w:t>
      </w:r>
      <w:r>
        <w:rPr>
          <w:rFonts w:ascii="Tahoma" w:hAnsi="Tahoma" w:cs="Tahoma"/>
          <w:color w:val="333333"/>
          <w:sz w:val="11"/>
          <w:szCs w:val="11"/>
        </w:rPr>
        <w:br/>
        <w:t>Еще одними очень важными адресатами управленческой отчетности являются</w:t>
      </w:r>
      <w:r>
        <w:rPr>
          <w:rStyle w:val="apple-converted-space"/>
          <w:rFonts w:ascii="Tahoma" w:eastAsiaTheme="majorEastAsia" w:hAnsi="Tahoma" w:cs="Tahoma"/>
          <w:color w:val="333333"/>
          <w:sz w:val="11"/>
          <w:szCs w:val="11"/>
        </w:rPr>
        <w:t> </w:t>
      </w:r>
      <w:r>
        <w:rPr>
          <w:rStyle w:val="a5"/>
          <w:rFonts w:ascii="Tahoma" w:hAnsi="Tahoma" w:cs="Tahoma"/>
          <w:color w:val="333333"/>
          <w:sz w:val="11"/>
          <w:szCs w:val="11"/>
        </w:rPr>
        <w:t>акционеры компании</w:t>
      </w:r>
      <w:r>
        <w:rPr>
          <w:rStyle w:val="apple-converted-space"/>
          <w:rFonts w:ascii="Tahoma" w:eastAsiaTheme="majorEastAsia" w:hAnsi="Tahoma" w:cs="Tahoma"/>
          <w:b/>
          <w:bCs/>
          <w:color w:val="333333"/>
          <w:sz w:val="11"/>
          <w:szCs w:val="11"/>
        </w:rPr>
        <w:t> </w:t>
      </w:r>
      <w:r>
        <w:rPr>
          <w:rFonts w:ascii="Tahoma" w:hAnsi="Tahoma" w:cs="Tahoma"/>
          <w:color w:val="333333"/>
          <w:sz w:val="11"/>
          <w:szCs w:val="11"/>
        </w:rPr>
        <w:t>(не акционеры-менеджеры в функции менеджеров, а просто акционеры), прежде всего те, кто принимают активное участие в стратегическом управлении компанией. Для них важными блоками являются расчетные данные, характеризующие стоимость компании, сведения о структуре и динамике себестоимости, долях рынка, приходящихся на компанию, об исполнении важнейших контрактов и о ходе реализации новых проектов.</w:t>
      </w:r>
      <w:r>
        <w:rPr>
          <w:rStyle w:val="apple-converted-space"/>
          <w:rFonts w:ascii="Tahoma" w:eastAsiaTheme="majorEastAsia" w:hAnsi="Tahoma" w:cs="Tahoma"/>
          <w:color w:val="333333"/>
          <w:sz w:val="11"/>
          <w:szCs w:val="11"/>
        </w:rPr>
        <w:t> </w:t>
      </w:r>
      <w:r>
        <w:rPr>
          <w:rFonts w:ascii="Tahoma" w:hAnsi="Tahoma" w:cs="Tahoma"/>
          <w:color w:val="333333"/>
          <w:sz w:val="11"/>
          <w:szCs w:val="11"/>
        </w:rPr>
        <w:br/>
        <w:t xml:space="preserve">Все вышеперечисленные блоки управленческой информации для разных пользователей можно напрячься и собрать один раз, чтобы получить реальную картину бизнеса на какой-то конкретный момент. Однако наибольшую информативность и </w:t>
      </w:r>
      <w:proofErr w:type="gramStart"/>
      <w:r>
        <w:rPr>
          <w:rFonts w:ascii="Tahoma" w:hAnsi="Tahoma" w:cs="Tahoma"/>
          <w:color w:val="333333"/>
          <w:sz w:val="11"/>
          <w:szCs w:val="11"/>
        </w:rPr>
        <w:t>полезность</w:t>
      </w:r>
      <w:proofErr w:type="gramEnd"/>
      <w:r>
        <w:rPr>
          <w:rFonts w:ascii="Tahoma" w:hAnsi="Tahoma" w:cs="Tahoma"/>
          <w:color w:val="333333"/>
          <w:sz w:val="11"/>
          <w:szCs w:val="11"/>
        </w:rPr>
        <w:t xml:space="preserve"> данные управленческой отчетности могут представлять, только если они собираются на регулярной основе, на основе установленных принципов сбора и систематизации, сравниваются с запланированными показателями, а в идеале – и со среднеотраслевыми или данными ближайших конкурентов.</w:t>
      </w:r>
      <w:r>
        <w:rPr>
          <w:rFonts w:ascii="Tahoma" w:hAnsi="Tahoma" w:cs="Tahoma"/>
          <w:color w:val="333333"/>
          <w:sz w:val="11"/>
          <w:szCs w:val="11"/>
        </w:rPr>
        <w:br/>
        <w:t xml:space="preserve">В таком случае управленческая отчетность становится важным элементом планирования, контроля, достижения эффективности. </w:t>
      </w:r>
      <w:proofErr w:type="gramStart"/>
      <w:r>
        <w:rPr>
          <w:rFonts w:ascii="Tahoma" w:hAnsi="Tahoma" w:cs="Tahoma"/>
          <w:color w:val="333333"/>
          <w:sz w:val="11"/>
          <w:szCs w:val="11"/>
        </w:rPr>
        <w:t>Отклонения фактических данных от, например, планировавшихся вызывают необходимость анализа: почему?</w:t>
      </w:r>
      <w:proofErr w:type="gramEnd"/>
      <w:r>
        <w:rPr>
          <w:rFonts w:ascii="Tahoma" w:hAnsi="Tahoma" w:cs="Tahoma"/>
          <w:color w:val="333333"/>
          <w:sz w:val="11"/>
          <w:szCs w:val="11"/>
        </w:rPr>
        <w:t xml:space="preserve"> Несовпадения, правда, в ряде случаев могут быть из-за неаккуратного планирования или нереальных целей, но при регулярной плановой работе такая ситуация постепенно меняется, и анализ причин отклонений дает реальную картину проблем.</w:t>
      </w:r>
    </w:p>
    <w:p w:rsidR="00441B01" w:rsidRDefault="00441B01"/>
    <w:p w:rsidR="00441B01" w:rsidRDefault="00441B01">
      <w:hyperlink r:id="rId69" w:history="1">
        <w:r>
          <w:rPr>
            <w:rStyle w:val="a4"/>
          </w:rPr>
          <w:t>http://v8.1c.ru/enterprise/9/92.htm</w:t>
        </w:r>
      </w:hyperlink>
    </w:p>
    <w:p w:rsidR="00441B01" w:rsidRDefault="00441B01">
      <w:hyperlink r:id="rId70" w:history="1">
        <w:r>
          <w:rPr>
            <w:rStyle w:val="a4"/>
          </w:rPr>
          <w:t>http://www.fd.ru/articles/24374</w:t>
        </w:r>
      </w:hyperlink>
    </w:p>
    <w:p w:rsidR="005346E6" w:rsidRDefault="005346E6"/>
    <w:sectPr w:rsidR="005346E6" w:rsidSect="0026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6B46"/>
    <w:multiLevelType w:val="multilevel"/>
    <w:tmpl w:val="5DC4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91A01"/>
    <w:multiLevelType w:val="multilevel"/>
    <w:tmpl w:val="05FA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86CF9"/>
    <w:multiLevelType w:val="multilevel"/>
    <w:tmpl w:val="D16A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characterSpacingControl w:val="doNotCompress"/>
  <w:compat/>
  <w:rsids>
    <w:rsidRoot w:val="00BB4DD9"/>
    <w:rsid w:val="00261A0E"/>
    <w:rsid w:val="00441B01"/>
    <w:rsid w:val="005346E6"/>
    <w:rsid w:val="00BB4DD9"/>
    <w:rsid w:val="00D409F4"/>
    <w:rsid w:val="00E1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0E"/>
  </w:style>
  <w:style w:type="paragraph" w:styleId="2">
    <w:name w:val="heading 2"/>
    <w:basedOn w:val="a"/>
    <w:link w:val="20"/>
    <w:uiPriority w:val="9"/>
    <w:qFormat/>
    <w:rsid w:val="00BB4D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B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D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DD9"/>
  </w:style>
  <w:style w:type="character" w:styleId="a4">
    <w:name w:val="Hyperlink"/>
    <w:basedOn w:val="a0"/>
    <w:uiPriority w:val="99"/>
    <w:semiHidden/>
    <w:unhideWhenUsed/>
    <w:rsid w:val="00BB4D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41B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1B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441B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martcat.ru/Referat/stvedramfh/" TargetMode="External"/><Relationship Id="rId18" Type="http://schemas.openxmlformats.org/officeDocument/2006/relationships/hyperlink" Target="http://www.smartcat.ru/Referat/stvedramfh/" TargetMode="External"/><Relationship Id="rId26" Type="http://schemas.openxmlformats.org/officeDocument/2006/relationships/hyperlink" Target="http://www.smartcat.ru/Referat/stvedramfh/" TargetMode="External"/><Relationship Id="rId39" Type="http://schemas.openxmlformats.org/officeDocument/2006/relationships/hyperlink" Target="http://www.smartcat.ru/Referat/itbeqramvr/" TargetMode="External"/><Relationship Id="rId21" Type="http://schemas.openxmlformats.org/officeDocument/2006/relationships/hyperlink" Target="http://www.smartcat.ru/Referat/zteegramma/" TargetMode="External"/><Relationship Id="rId34" Type="http://schemas.openxmlformats.org/officeDocument/2006/relationships/hyperlink" Target="http://www.smartcat.ru/Referat/stvedramfh/" TargetMode="External"/><Relationship Id="rId42" Type="http://schemas.openxmlformats.org/officeDocument/2006/relationships/hyperlink" Target="http://www.cis2000.ru/cisFinAnalysis/ftseiramsu/" TargetMode="External"/><Relationship Id="rId47" Type="http://schemas.openxmlformats.org/officeDocument/2006/relationships/hyperlink" Target="http://www.smartcat.ru/Referat/itbeqramvr/" TargetMode="External"/><Relationship Id="rId50" Type="http://schemas.openxmlformats.org/officeDocument/2006/relationships/hyperlink" Target="http://www.smartcat.ru/Referat/wtaeqramjd/" TargetMode="External"/><Relationship Id="rId55" Type="http://schemas.openxmlformats.org/officeDocument/2006/relationships/hyperlink" Target="http://www.smartcat.ru/Referat/Audit/htkekramus/" TargetMode="External"/><Relationship Id="rId63" Type="http://schemas.openxmlformats.org/officeDocument/2006/relationships/hyperlink" Target="http://www.smartcat.ru/Referat/wtaeqramjd/" TargetMode="External"/><Relationship Id="rId68" Type="http://schemas.openxmlformats.org/officeDocument/2006/relationships/hyperlink" Target="http://www.smartcat.ru/Referat/ltzepramyo/" TargetMode="External"/><Relationship Id="rId7" Type="http://schemas.openxmlformats.org/officeDocument/2006/relationships/hyperlink" Target="http://www.smartcat.ru/Referat/stvedramfh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martcat.ru/Referat/itsekramvr/" TargetMode="External"/><Relationship Id="rId29" Type="http://schemas.openxmlformats.org/officeDocument/2006/relationships/hyperlink" Target="http://www.smartcat.ru/Referat/itbeqramv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martcat.ru/Referat/qtzegramdj/" TargetMode="External"/><Relationship Id="rId11" Type="http://schemas.openxmlformats.org/officeDocument/2006/relationships/hyperlink" Target="http://www.smartcat.ru/Referat/atfegramnz/" TargetMode="External"/><Relationship Id="rId24" Type="http://schemas.openxmlformats.org/officeDocument/2006/relationships/hyperlink" Target="http://www.smartcat.ru/Referat/ltzepramyo/" TargetMode="External"/><Relationship Id="rId32" Type="http://schemas.openxmlformats.org/officeDocument/2006/relationships/hyperlink" Target="http://www.smartcat.ru/Referat/itbeqramvr/" TargetMode="External"/><Relationship Id="rId37" Type="http://schemas.openxmlformats.org/officeDocument/2006/relationships/hyperlink" Target="http://www.smartcat.ru/Referat/itbeqramvr/" TargetMode="External"/><Relationship Id="rId40" Type="http://schemas.openxmlformats.org/officeDocument/2006/relationships/hyperlink" Target="http://www.smartcat.ru/Referat/itbeqramvr/" TargetMode="External"/><Relationship Id="rId45" Type="http://schemas.openxmlformats.org/officeDocument/2006/relationships/hyperlink" Target="http://www.smartcat.ru/Referat/itbeqramvr/" TargetMode="External"/><Relationship Id="rId53" Type="http://schemas.openxmlformats.org/officeDocument/2006/relationships/hyperlink" Target="http://www.smartcat.ru/Referat/atkekramnz/" TargetMode="External"/><Relationship Id="rId58" Type="http://schemas.openxmlformats.org/officeDocument/2006/relationships/hyperlink" Target="http://www.smartcat.ru/Referat/Forex/itjekramvr/" TargetMode="External"/><Relationship Id="rId66" Type="http://schemas.openxmlformats.org/officeDocument/2006/relationships/hyperlink" Target="http://www.smartcat.ru/Referat/itbeqramvr/" TargetMode="External"/><Relationship Id="rId5" Type="http://schemas.openxmlformats.org/officeDocument/2006/relationships/hyperlink" Target="http://www.smartcat.ru/Referat/stvedramfh/" TargetMode="External"/><Relationship Id="rId15" Type="http://schemas.openxmlformats.org/officeDocument/2006/relationships/hyperlink" Target="http://www.smartcat.ru/Referat/stvedramfh/" TargetMode="External"/><Relationship Id="rId23" Type="http://schemas.openxmlformats.org/officeDocument/2006/relationships/hyperlink" Target="http://www.smartcat.ru/Referat/stvedramfh/" TargetMode="External"/><Relationship Id="rId28" Type="http://schemas.openxmlformats.org/officeDocument/2006/relationships/hyperlink" Target="http://www.smartcat.ru/Referat/stvedramfh/" TargetMode="External"/><Relationship Id="rId36" Type="http://schemas.openxmlformats.org/officeDocument/2006/relationships/hyperlink" Target="http://www.smartcat.ru/Referat/wtaeqramjd/" TargetMode="External"/><Relationship Id="rId49" Type="http://schemas.openxmlformats.org/officeDocument/2006/relationships/hyperlink" Target="http://www.smartcat.ru/Referat/ttneeramgg/" TargetMode="External"/><Relationship Id="rId57" Type="http://schemas.openxmlformats.org/officeDocument/2006/relationships/hyperlink" Target="http://www.smartcat.ru/Referat/Forex/itjekramvr/" TargetMode="External"/><Relationship Id="rId61" Type="http://schemas.openxmlformats.org/officeDocument/2006/relationships/hyperlink" Target="http://www.smartcat.ru/Referat/stvedramfh/" TargetMode="External"/><Relationship Id="rId10" Type="http://schemas.openxmlformats.org/officeDocument/2006/relationships/hyperlink" Target="http://www.smartcat.ru/Referat/stvedramfh/" TargetMode="External"/><Relationship Id="rId19" Type="http://schemas.openxmlformats.org/officeDocument/2006/relationships/hyperlink" Target="http://www.smartcat.ru/Referat/stvedramfh/" TargetMode="External"/><Relationship Id="rId31" Type="http://schemas.openxmlformats.org/officeDocument/2006/relationships/hyperlink" Target="http://www.smartcat.ru/Referat/itbeqramvr/" TargetMode="External"/><Relationship Id="rId44" Type="http://schemas.openxmlformats.org/officeDocument/2006/relationships/hyperlink" Target="http://www.smartcat.ru/Referat/itbeqramvr/" TargetMode="External"/><Relationship Id="rId52" Type="http://schemas.openxmlformats.org/officeDocument/2006/relationships/hyperlink" Target="http://www.smartcat.ru/Referat/stvedramfh/" TargetMode="External"/><Relationship Id="rId60" Type="http://schemas.openxmlformats.org/officeDocument/2006/relationships/hyperlink" Target="http://www.smartcat.ru/Referat/Audit/ttielramgg/" TargetMode="External"/><Relationship Id="rId65" Type="http://schemas.openxmlformats.org/officeDocument/2006/relationships/hyperlink" Target="http://www.smartcat.ru/Referat/wtaeqramj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artcat.ru/Referat/stvedramfh/" TargetMode="External"/><Relationship Id="rId14" Type="http://schemas.openxmlformats.org/officeDocument/2006/relationships/hyperlink" Target="http://www.smartcat.ru/Referat/itbeqramvr/" TargetMode="External"/><Relationship Id="rId22" Type="http://schemas.openxmlformats.org/officeDocument/2006/relationships/hyperlink" Target="http://www.smartcat.ru/Referat/itbeqramvr/" TargetMode="External"/><Relationship Id="rId27" Type="http://schemas.openxmlformats.org/officeDocument/2006/relationships/hyperlink" Target="http://www.smartcat.ru/Referat/stvedramfh/" TargetMode="External"/><Relationship Id="rId30" Type="http://schemas.openxmlformats.org/officeDocument/2006/relationships/hyperlink" Target="http://www.smartcat.ru/Referat/stvedramfh/" TargetMode="External"/><Relationship Id="rId35" Type="http://schemas.openxmlformats.org/officeDocument/2006/relationships/hyperlink" Target="http://www.cis2000.ru/cisFinAnalysis/ftseiramsu/" TargetMode="External"/><Relationship Id="rId43" Type="http://schemas.openxmlformats.org/officeDocument/2006/relationships/hyperlink" Target="http://www.smartcat.ru/Referat/zteegramma/" TargetMode="External"/><Relationship Id="rId48" Type="http://schemas.openxmlformats.org/officeDocument/2006/relationships/hyperlink" Target="http://www.smartcat.ru/Referat/stvedramfh/" TargetMode="External"/><Relationship Id="rId56" Type="http://schemas.openxmlformats.org/officeDocument/2006/relationships/hyperlink" Target="http://www.smartcat.ru/Referat/stvedramfh/" TargetMode="External"/><Relationship Id="rId64" Type="http://schemas.openxmlformats.org/officeDocument/2006/relationships/hyperlink" Target="http://www.smartcat.ru/Referat/stvedramfh/" TargetMode="External"/><Relationship Id="rId69" Type="http://schemas.openxmlformats.org/officeDocument/2006/relationships/hyperlink" Target="http://v8.1c.ru/enterprise/9/92.htm" TargetMode="External"/><Relationship Id="rId8" Type="http://schemas.openxmlformats.org/officeDocument/2006/relationships/hyperlink" Target="http://www.smartcat.ru/Referat/Audit/ltaejramyo/" TargetMode="External"/><Relationship Id="rId51" Type="http://schemas.openxmlformats.org/officeDocument/2006/relationships/hyperlink" Target="http://www.smartcat.ru/Referat/ntzepramam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cis2000.ru/cisFinAnalysis/ftseiramsu/" TargetMode="External"/><Relationship Id="rId17" Type="http://schemas.openxmlformats.org/officeDocument/2006/relationships/hyperlink" Target="http://www.smartcat.ru/Referat/wtaeqramjd/" TargetMode="External"/><Relationship Id="rId25" Type="http://schemas.openxmlformats.org/officeDocument/2006/relationships/hyperlink" Target="http://www.smartcat.ru/Referat/itbeqramvr/" TargetMode="External"/><Relationship Id="rId33" Type="http://schemas.openxmlformats.org/officeDocument/2006/relationships/hyperlink" Target="http://www.smartcat.ru/Referat/itbeqramvr/" TargetMode="External"/><Relationship Id="rId38" Type="http://schemas.openxmlformats.org/officeDocument/2006/relationships/hyperlink" Target="http://www.smartcat.ru/Referat/wtaeqramjd/" TargetMode="External"/><Relationship Id="rId46" Type="http://schemas.openxmlformats.org/officeDocument/2006/relationships/hyperlink" Target="http://www.smartcat.ru/Referat/stvedramfh/" TargetMode="External"/><Relationship Id="rId59" Type="http://schemas.openxmlformats.org/officeDocument/2006/relationships/hyperlink" Target="http://www.smartcat.ru/Referat/Forex/ktweqramxp/" TargetMode="External"/><Relationship Id="rId67" Type="http://schemas.openxmlformats.org/officeDocument/2006/relationships/hyperlink" Target="http://www.smartcat.ru/Referat/stvedramfh/" TargetMode="External"/><Relationship Id="rId20" Type="http://schemas.openxmlformats.org/officeDocument/2006/relationships/hyperlink" Target="http://www.smartcat.ru/Referat/stvedramfh/" TargetMode="External"/><Relationship Id="rId41" Type="http://schemas.openxmlformats.org/officeDocument/2006/relationships/hyperlink" Target="http://www.smartcat.ru/Referat/stvedramfh/" TargetMode="External"/><Relationship Id="rId54" Type="http://schemas.openxmlformats.org/officeDocument/2006/relationships/hyperlink" Target="http://www.smartcat.ru/Referat/stvedramfh/" TargetMode="External"/><Relationship Id="rId62" Type="http://schemas.openxmlformats.org/officeDocument/2006/relationships/hyperlink" Target="http://www.smartcat.ru/Referat/ntzepramam/" TargetMode="External"/><Relationship Id="rId70" Type="http://schemas.openxmlformats.org/officeDocument/2006/relationships/hyperlink" Target="http://www.fd.ru/articles/24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2013-04-23T18:07:00Z</dcterms:created>
  <dcterms:modified xsi:type="dcterms:W3CDTF">2013-04-23T18:20:00Z</dcterms:modified>
</cp:coreProperties>
</file>