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F" w:rsidRPr="00334C66" w:rsidRDefault="00AD3616" w:rsidP="004C47CF">
      <w:pPr>
        <w:tabs>
          <w:tab w:val="left" w:pos="144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334C66">
        <w:rPr>
          <w:b/>
        </w:rPr>
        <w:t>ПОЯСНИТЕЛЬНАЯ ЗАПИСКА</w:t>
      </w:r>
    </w:p>
    <w:p w:rsidR="00334C66" w:rsidRPr="00334C66" w:rsidRDefault="00334C66" w:rsidP="00334C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334C66">
        <w:rPr>
          <w:b/>
          <w:bCs/>
        </w:rPr>
        <w:t>к проекту федерального закона "О внесении изменений в отдельные законодательные акты Российской Федерации в целях обеспечения прав граждан при комплексном развитии территорий"</w:t>
      </w:r>
    </w:p>
    <w:p w:rsidR="00334C66" w:rsidRPr="0023640A" w:rsidRDefault="00334C66" w:rsidP="00334C6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 xml:space="preserve">Федеральный закон от 30 декабря 2020 года № 494 «О внесении изменений </w:t>
      </w:r>
      <w:r w:rsidRPr="00CC08CB">
        <w:br/>
        <w:t xml:space="preserve">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закрепил </w:t>
      </w:r>
      <w:r>
        <w:br/>
      </w:r>
      <w:r w:rsidRPr="00CC08CB">
        <w:t xml:space="preserve">в федеральном законодательстве Российской Федерации институт комплексного развития территории (далее также – КРТ) – совокупность мероприятий, выполняемых </w:t>
      </w:r>
      <w:r w:rsidRPr="00CC08CB">
        <w:br/>
        <w:t xml:space="preserve">в соответствии с утвержденной документацией по планировке территории </w:t>
      </w:r>
      <w:r w:rsidRPr="00CC08CB">
        <w:br/>
        <w:t>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 xml:space="preserve">На сегодняшний день КРТ является одним из ключевых направлений градостроительного развития субъектов Российской Федерации, которое осуществляется </w:t>
      </w:r>
      <w:r>
        <w:br/>
      </w:r>
      <w:r w:rsidRPr="00CC08CB">
        <w:t>для повышения эффективности использования территорий, создания необходимых условий для развития инфраструктуры, обновления застроенных территорий.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 xml:space="preserve">Согласно информации Министерства строительства и жилищно-коммунального хозяйства Российской Федерации в рамках мониторинга реализации механизма комплексного развития территорий субъектами Российской Федерации по состоянию </w:t>
      </w:r>
      <w:r w:rsidRPr="00CC08CB">
        <w:br/>
        <w:t xml:space="preserve">на 1 марта 2023 года прорабатывается вопрос о применении механизма КРТ в отношении </w:t>
      </w:r>
      <w:r>
        <w:br/>
      </w:r>
      <w:r w:rsidRPr="00CC08CB">
        <w:t>849 территорий общей площадью 26,6 тыс. га.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В рамках применения механизма КРТ на сегодняшний день планируется возведение объектов капитального строительства общей площадью около 157 млн кв. м, из них около 120 млн кв. м жилой площади.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Субъектами Российской Федерации в рамках реализации КРТ достигнуты следующие показатели: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подготовлено 356 проектов решений о КРТ;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 xml:space="preserve">принято 328 решений о КРТ, в том числе: 127 решений о КРТ жилой застройки, </w:t>
      </w:r>
      <w:r w:rsidRPr="00CC08CB">
        <w:br/>
        <w:t>44 решения о самостоятельной реализации КРТ Российской Федерацией, субъектом Российской Федерации или муниципальным образованием, а также о реализации КРТ юридическим лицом, созданным субъектом Российской Федерации;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организовано 206 процедур торгов в целях заключения договора о КРТ;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заключено 233 договора о КРТ: 17 договоров АО «ДОМ.РФ», 103 – по результатам торгов, 113 – по инициативе правообладателей;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разработано и утверждено 107 документаций по планировке территорий, подлежащих комплексному развитию;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выдано 76 разрешений на строительство с планируемым объемом ввода жилья порядка 1,6 млн кв. м.;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фактический ввод в эксплуатацию объектов капитального строительства в рамках КРТ составил 163,24 тыс. кв. м, в том числе 135,6 тыс. кв. м жилья;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 xml:space="preserve">фактическое переселение граждан из жилищного фонда (включая аварийный) началось в 12 субъектах Российской Федерации и на указанную дату составляет </w:t>
      </w:r>
      <w:r w:rsidR="00A05982">
        <w:br/>
      </w:r>
      <w:r w:rsidRPr="00CC08CB">
        <w:t>44,34 тыс. кв. м, 1 477 граждан переселено.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Таким образом, мероприятия в рамках комплексного развития территории жилой застройки на 1 марта 2023 года коснулось 1 477 граждан, однако фактически указанное число гораздо больше.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tab/>
        <w:t>Указанная статистическая информация свидетельствует о масштабном характере мероприятий в рамках комплексного развития территории жилой застройки в Российской Федерации.</w:t>
      </w:r>
    </w:p>
    <w:p w:rsidR="00167991" w:rsidRPr="00CC08CB" w:rsidRDefault="00167991" w:rsidP="00167991">
      <w:pPr>
        <w:autoSpaceDE w:val="0"/>
        <w:autoSpaceDN w:val="0"/>
        <w:adjustRightInd w:val="0"/>
        <w:contextualSpacing/>
        <w:jc w:val="both"/>
      </w:pPr>
      <w:r w:rsidRPr="00CC08CB">
        <w:lastRenderedPageBreak/>
        <w:tab/>
        <w:t xml:space="preserve">Вместе с тем, отдельные положения федерального законодательства в части реализации решения о КРТ требуют значительных корректировок, в том числе положения </w:t>
      </w:r>
      <w:r>
        <w:br/>
      </w:r>
      <w:r w:rsidRPr="00CC08CB">
        <w:t xml:space="preserve">о защите жилищных и имущественных прав граждан. 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>Проектом федерального закона предлагается: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1. Внести ряд изменений в Жилищный кодекс Российской Федерации, </w:t>
      </w:r>
      <w:r w:rsidRPr="004F3450">
        <w:br/>
        <w:t>в соответствии с которыми устанавливается следующее: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1) нанимателю жилого помещения возмещаются все убытки, которые он несет </w:t>
      </w:r>
      <w:r w:rsidRPr="004F3450">
        <w:br/>
        <w:t>в связи с изменением места проживания и переездом;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2) нормативным правовым актом субъекта Российской Федерации может быть предусмотрено право собственников жилых помещений, нанимателей жилых помещений </w:t>
      </w:r>
      <w:r>
        <w:br/>
      </w:r>
      <w:r w:rsidRPr="004F3450">
        <w:t xml:space="preserve">на получение равнозначного жилого помещения, если такое жилое помещение находится </w:t>
      </w:r>
      <w:r>
        <w:br/>
      </w:r>
      <w:r w:rsidRPr="004F3450">
        <w:t xml:space="preserve">в многоквартирном доме, который расположен в том же поселении, городском округе, </w:t>
      </w:r>
      <w:r w:rsidRPr="004F3450">
        <w:br/>
        <w:t>в котором расположен многоквартирный дом, включенный в границы территории жилой застройки, подлежащей комплексному развитию, а для городов федерального значения Москвы, Санкт-Петербурга и Севастополя – в многоквартирном доме, который расположен на территории, определенной нормативным правовым актом субъекта Российской Федерации;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>3) в случае предоставления жилого помещения, общая площадь которого превышает общую площадь освобождаемого жилого помещения (но не более шести квадратных метров жилой площади), сведения о лице, обеспечивающем возмещение разницы в стоимости между площадью предоставляемого жилого помещения и освобождаемого жилого помещения;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4) государственная регистрация перехода ограничений и обременений осуществляется одновременно с государственной регистрацией перехода права собственности </w:t>
      </w:r>
      <w:r>
        <w:br/>
      </w:r>
      <w:r w:rsidRPr="004F3450">
        <w:t>на предоставляемое жилое помещение;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>5) особенности реализации гражданами права на образование при реализации решения о КРТ с предоставлением жилых помещений на территории микрорайона проживания;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>6) в субъектах Российской Федерации – городах федерального значения Москве, Санкт-Петербурге и Севастополе в случае, если в передаваемом жилом помещении проживают инвалиды или граждане, признанные нуждающимися в оказании социальной помощи, то при предоставлении жилого помещения взамен освобождаемого жилого помещения учитывается близость расположения организаций социального обслуживания населения;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7)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застройки, подлежащей комплексному развитию в соответствии </w:t>
      </w:r>
      <w:r w:rsidRPr="004F3450">
        <w:br/>
        <w:t xml:space="preserve">с проектом решения о комплексном развитии такой территории, может быть созвано </w:t>
      </w:r>
      <w:r w:rsidRPr="004F3450">
        <w:br/>
        <w:t xml:space="preserve">по инициативе не менее десяти процентов от общего числа таких собственников – физических лиц; </w:t>
      </w:r>
    </w:p>
    <w:p w:rsidR="00167991" w:rsidRPr="004F3450" w:rsidRDefault="00167991" w:rsidP="00167991">
      <w:pPr>
        <w:ind w:firstLine="709"/>
        <w:contextualSpacing/>
        <w:jc w:val="both"/>
      </w:pPr>
      <w:r w:rsidRPr="004F3450">
        <w:t xml:space="preserve">8) при проведении голосования по вопросу о включении многоквартирного дома </w:t>
      </w:r>
      <w:r w:rsidRPr="004F3450">
        <w:br/>
        <w:t xml:space="preserve">в границы территории жилой застройки, подлежащей комплексному развитию </w:t>
      </w:r>
      <w:r w:rsidRPr="004F3450">
        <w:br/>
        <w:t xml:space="preserve">в соответствии с проектом решения о комплексном развитии такой территории, повестки дня общего собрания собственников помещений в многоквартирном доме </w:t>
      </w:r>
      <w:r w:rsidRPr="004F3450">
        <w:br/>
        <w:t>с использованием системы полномочия администратора общего собрания осуществляет собственник помещения в указанном многоквартирном доме, уполномоченный решением общего собрания;</w:t>
      </w:r>
    </w:p>
    <w:p w:rsidR="00167991" w:rsidRPr="00CC08CB" w:rsidRDefault="00167991" w:rsidP="00167991">
      <w:pPr>
        <w:ind w:firstLine="709"/>
        <w:contextualSpacing/>
        <w:jc w:val="both"/>
      </w:pPr>
      <w:r w:rsidRPr="004F3450">
        <w:t xml:space="preserve">9)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девяносто дней с даты и времени начала проведения такого голосования, </w:t>
      </w:r>
      <w:r>
        <w:br/>
      </w:r>
      <w:r w:rsidRPr="004F3450">
        <w:t xml:space="preserve">в том числе в случае включения в повестку дня вопроса о включении многоквартирного дома </w:t>
      </w:r>
      <w:r w:rsidRPr="004F3450">
        <w:br/>
      </w:r>
      <w:r w:rsidRPr="004F3450">
        <w:lastRenderedPageBreak/>
        <w:t xml:space="preserve">в границы территории жилой застройки, подлежащей комплексному развитию </w:t>
      </w:r>
      <w:r w:rsidRPr="004F3450">
        <w:br/>
        <w:t>в соответствии с проектом решения о комплексном развитии такой территории.</w:t>
      </w:r>
    </w:p>
    <w:p w:rsidR="00167991" w:rsidRPr="00CC08CB" w:rsidRDefault="00167991" w:rsidP="00167991">
      <w:pPr>
        <w:ind w:firstLine="709"/>
        <w:contextualSpacing/>
        <w:jc w:val="both"/>
      </w:pPr>
      <w:r w:rsidRPr="00CC08CB">
        <w:t xml:space="preserve">2. Внести ряд изменений в Градостроительный кодекс Российской Федерации, </w:t>
      </w:r>
      <w:r w:rsidRPr="00CC08CB">
        <w:br/>
        <w:t>в соответствии с которыми предлагается установить следующее:</w:t>
      </w:r>
    </w:p>
    <w:p w:rsidR="00167991" w:rsidRPr="00CC08CB" w:rsidRDefault="00167991" w:rsidP="00167991">
      <w:pPr>
        <w:ind w:firstLine="709"/>
        <w:contextualSpacing/>
        <w:jc w:val="both"/>
      </w:pPr>
      <w:r w:rsidRPr="00CC08CB">
        <w:t xml:space="preserve">1)  процедура принятия и реализации решения о комплексном развитии территории жилой застройки должна состоять из этапа проведения общих собраний собственников многоквартирных домов, не признанных аварийными и подлежащими сносу </w:t>
      </w:r>
      <w:r>
        <w:br/>
      </w:r>
      <w:r w:rsidRPr="00CC08CB">
        <w:t xml:space="preserve">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</w:t>
      </w:r>
      <w:r w:rsidRPr="00CC08CB">
        <w:br/>
        <w:t xml:space="preserve">о комплексном развитии территории жилой застройки. При этом на голосование должен ставиться вопрос о включении многоквартирного дома в решение о комплексном развитии территории жилой застройки, а предельный срок для проведения таких общих собраний должен устанавливаться нормативным актом субъекта Российской Федерации </w:t>
      </w:r>
      <w:r w:rsidRPr="00CC08CB">
        <w:br/>
        <w:t>и не может быть менее одного месяца;</w:t>
      </w:r>
    </w:p>
    <w:p w:rsidR="00167991" w:rsidRPr="00CC08CB" w:rsidRDefault="00167991" w:rsidP="00167991">
      <w:pPr>
        <w:ind w:firstLine="709"/>
        <w:contextualSpacing/>
        <w:jc w:val="both"/>
      </w:pPr>
      <w:r w:rsidRPr="00CC08CB">
        <w:t xml:space="preserve">2) включенные в проект решения о комплексном развитии территории жилой застройки многоквартирные дома, общие собрания собственников помещений в которых </w:t>
      </w:r>
      <w:r>
        <w:br/>
      </w:r>
      <w:r w:rsidRPr="00CC08CB">
        <w:t xml:space="preserve">не состоялись (не были проведены в установленный для этого срок, не имели кворума, </w:t>
      </w:r>
      <w:r>
        <w:br/>
      </w:r>
      <w:r w:rsidRPr="00CC08CB">
        <w:t xml:space="preserve">или решения по вопросу включения многоквартирного дома в решение о комплексном развитии территории жилой застройки которых признаны недействительными), </w:t>
      </w:r>
      <w:r w:rsidRPr="00CC08CB">
        <w:br/>
        <w:t>не включаются в решение о комплексном развитии территории.</w:t>
      </w:r>
    </w:p>
    <w:p w:rsidR="00167991" w:rsidRPr="00CC08CB" w:rsidRDefault="00167991" w:rsidP="00167991">
      <w:pPr>
        <w:ind w:firstLine="709"/>
        <w:contextualSpacing/>
        <w:jc w:val="both"/>
      </w:pPr>
      <w:r w:rsidRPr="00CC08CB">
        <w:t>3. Корректировка статьи 36</w:t>
      </w:r>
      <w:r w:rsidRPr="00CC08CB">
        <w:rPr>
          <w:vertAlign w:val="superscript"/>
        </w:rPr>
        <w:t>3</w:t>
      </w:r>
      <w:r w:rsidRPr="00CC08CB">
        <w:t xml:space="preserve"> Федерального закона от 13 июля 2015 года № 218-ФЗ </w:t>
      </w:r>
      <w:r w:rsidRPr="00CC08CB">
        <w:br/>
        <w:t>«О государственной регистрации недвижимости» в части предоставления персональной информации при реализации решения о КРТ.</w:t>
      </w:r>
    </w:p>
    <w:p w:rsidR="00167991" w:rsidRPr="00CC08CB" w:rsidRDefault="00167991" w:rsidP="00167991">
      <w:pPr>
        <w:ind w:firstLine="709"/>
        <w:contextualSpacing/>
        <w:jc w:val="both"/>
      </w:pPr>
      <w:r w:rsidRPr="00CC08CB">
        <w:t xml:space="preserve">Изменения, предусмотренные проектом </w:t>
      </w:r>
      <w:r w:rsidR="00D83503">
        <w:t>ф</w:t>
      </w:r>
      <w:r w:rsidRPr="00CC08CB">
        <w:t xml:space="preserve">едерального закона «О внесении изменений в отдельные законодательные акты Российской Федерации в целях обеспечения прав граждан при комплексном развитии территорий», будут способствовать актуализации отдельных положений нормативных правовых актов в части реализации решения о КРТ, </w:t>
      </w:r>
      <w:r>
        <w:br/>
      </w:r>
      <w:r w:rsidRPr="00CC08CB">
        <w:t xml:space="preserve">а также позволят более полно защитить жилищные и имущественные права граждан </w:t>
      </w:r>
      <w:r>
        <w:br/>
      </w:r>
      <w:r w:rsidRPr="00CC08CB">
        <w:t>в указанной части.</w:t>
      </w:r>
    </w:p>
    <w:p w:rsidR="002C6B70" w:rsidRPr="002C6B70" w:rsidRDefault="002C6B70" w:rsidP="00334C66">
      <w:pPr>
        <w:widowControl w:val="0"/>
        <w:autoSpaceDE w:val="0"/>
        <w:autoSpaceDN w:val="0"/>
        <w:adjustRightInd w:val="0"/>
        <w:jc w:val="center"/>
        <w:outlineLvl w:val="0"/>
      </w:pPr>
    </w:p>
    <w:sectPr w:rsidR="002C6B70" w:rsidRPr="002C6B70" w:rsidSect="00AD11C4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E" w:rsidRDefault="002A405E" w:rsidP="006101EC">
      <w:r>
        <w:separator/>
      </w:r>
    </w:p>
  </w:endnote>
  <w:endnote w:type="continuationSeparator" w:id="0">
    <w:p w:rsidR="002A405E" w:rsidRDefault="002A405E" w:rsidP="0061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E" w:rsidRDefault="002A405E" w:rsidP="006101EC">
      <w:r>
        <w:separator/>
      </w:r>
    </w:p>
  </w:footnote>
  <w:footnote w:type="continuationSeparator" w:id="0">
    <w:p w:rsidR="002A405E" w:rsidRDefault="002A405E" w:rsidP="0061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C4" w:rsidRPr="00AD11C4" w:rsidRDefault="00AD11C4">
    <w:pPr>
      <w:pStyle w:val="a3"/>
      <w:jc w:val="center"/>
      <w:rPr>
        <w:color w:val="000000" w:themeColor="text1"/>
      </w:rPr>
    </w:pPr>
    <w:r w:rsidRPr="00AD11C4">
      <w:rPr>
        <w:color w:val="000000" w:themeColor="text1"/>
      </w:rPr>
      <w:fldChar w:fldCharType="begin"/>
    </w:r>
    <w:r w:rsidRPr="00AD11C4">
      <w:rPr>
        <w:color w:val="000000" w:themeColor="text1"/>
      </w:rPr>
      <w:instrText>PAGE   \* MERGEFORMAT</w:instrText>
    </w:r>
    <w:r w:rsidRPr="00AD11C4">
      <w:rPr>
        <w:color w:val="000000" w:themeColor="text1"/>
      </w:rPr>
      <w:fldChar w:fldCharType="separate"/>
    </w:r>
    <w:r w:rsidR="00827E48">
      <w:rPr>
        <w:noProof/>
        <w:color w:val="000000" w:themeColor="text1"/>
      </w:rPr>
      <w:t>3</w:t>
    </w:r>
    <w:r w:rsidRPr="00AD11C4">
      <w:rPr>
        <w:color w:val="000000" w:themeColor="text1"/>
      </w:rPr>
      <w:fldChar w:fldCharType="end"/>
    </w:r>
  </w:p>
  <w:p w:rsidR="00AD11C4" w:rsidRDefault="00AD1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FB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62913"/>
    <w:multiLevelType w:val="hybridMultilevel"/>
    <w:tmpl w:val="FFFFFFFF"/>
    <w:lvl w:ilvl="0" w:tplc="1D9EA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F0"/>
    <w:rsid w:val="0000112E"/>
    <w:rsid w:val="0000444E"/>
    <w:rsid w:val="000158A0"/>
    <w:rsid w:val="0002470D"/>
    <w:rsid w:val="00027053"/>
    <w:rsid w:val="00032C66"/>
    <w:rsid w:val="00033907"/>
    <w:rsid w:val="00036083"/>
    <w:rsid w:val="00044464"/>
    <w:rsid w:val="000446A9"/>
    <w:rsid w:val="00050794"/>
    <w:rsid w:val="00050BEB"/>
    <w:rsid w:val="00051EE2"/>
    <w:rsid w:val="0005254E"/>
    <w:rsid w:val="000601BF"/>
    <w:rsid w:val="00060F4B"/>
    <w:rsid w:val="0006376D"/>
    <w:rsid w:val="00065AA1"/>
    <w:rsid w:val="00065DA8"/>
    <w:rsid w:val="00072242"/>
    <w:rsid w:val="000769BA"/>
    <w:rsid w:val="00077778"/>
    <w:rsid w:val="000858CB"/>
    <w:rsid w:val="000B455C"/>
    <w:rsid w:val="000C03ED"/>
    <w:rsid w:val="000C121E"/>
    <w:rsid w:val="000E55C0"/>
    <w:rsid w:val="000E56A4"/>
    <w:rsid w:val="001045D4"/>
    <w:rsid w:val="00107BE5"/>
    <w:rsid w:val="00112A8A"/>
    <w:rsid w:val="00123EA8"/>
    <w:rsid w:val="001246FE"/>
    <w:rsid w:val="00152D7C"/>
    <w:rsid w:val="00154BD7"/>
    <w:rsid w:val="0015723A"/>
    <w:rsid w:val="00162430"/>
    <w:rsid w:val="001631E9"/>
    <w:rsid w:val="00167991"/>
    <w:rsid w:val="00172C3B"/>
    <w:rsid w:val="001747BB"/>
    <w:rsid w:val="00177AD4"/>
    <w:rsid w:val="00182A96"/>
    <w:rsid w:val="00195867"/>
    <w:rsid w:val="001A7737"/>
    <w:rsid w:val="001B0166"/>
    <w:rsid w:val="001B1C2E"/>
    <w:rsid w:val="001B5BAB"/>
    <w:rsid w:val="001C51FB"/>
    <w:rsid w:val="001C755B"/>
    <w:rsid w:val="001D0BAD"/>
    <w:rsid w:val="001D7E8E"/>
    <w:rsid w:val="001E2BF9"/>
    <w:rsid w:val="001F179C"/>
    <w:rsid w:val="001F2476"/>
    <w:rsid w:val="00202FB1"/>
    <w:rsid w:val="0020351E"/>
    <w:rsid w:val="0021688D"/>
    <w:rsid w:val="0023640A"/>
    <w:rsid w:val="002538E6"/>
    <w:rsid w:val="00265C09"/>
    <w:rsid w:val="0026760D"/>
    <w:rsid w:val="00277424"/>
    <w:rsid w:val="0028254D"/>
    <w:rsid w:val="00282A6D"/>
    <w:rsid w:val="002A14B5"/>
    <w:rsid w:val="002A18B9"/>
    <w:rsid w:val="002A405E"/>
    <w:rsid w:val="002A4FD2"/>
    <w:rsid w:val="002B531E"/>
    <w:rsid w:val="002C64AA"/>
    <w:rsid w:val="002C6B70"/>
    <w:rsid w:val="002C6E64"/>
    <w:rsid w:val="002D31B7"/>
    <w:rsid w:val="002E32DF"/>
    <w:rsid w:val="002E6D86"/>
    <w:rsid w:val="002F2226"/>
    <w:rsid w:val="002F789A"/>
    <w:rsid w:val="002F7969"/>
    <w:rsid w:val="0030284D"/>
    <w:rsid w:val="003043D8"/>
    <w:rsid w:val="00307098"/>
    <w:rsid w:val="00310FA8"/>
    <w:rsid w:val="00330429"/>
    <w:rsid w:val="00334C66"/>
    <w:rsid w:val="00337617"/>
    <w:rsid w:val="003444A5"/>
    <w:rsid w:val="00346B1A"/>
    <w:rsid w:val="00351D38"/>
    <w:rsid w:val="003534AD"/>
    <w:rsid w:val="00372314"/>
    <w:rsid w:val="00374895"/>
    <w:rsid w:val="00380C9D"/>
    <w:rsid w:val="003824CE"/>
    <w:rsid w:val="003870B0"/>
    <w:rsid w:val="003A4AB6"/>
    <w:rsid w:val="003B0CB0"/>
    <w:rsid w:val="003B4E23"/>
    <w:rsid w:val="003B67A7"/>
    <w:rsid w:val="003B7A27"/>
    <w:rsid w:val="003E160A"/>
    <w:rsid w:val="003E6DFF"/>
    <w:rsid w:val="003F261F"/>
    <w:rsid w:val="003F5E76"/>
    <w:rsid w:val="004015AF"/>
    <w:rsid w:val="00403451"/>
    <w:rsid w:val="00417301"/>
    <w:rsid w:val="00423B2E"/>
    <w:rsid w:val="00432C19"/>
    <w:rsid w:val="00435147"/>
    <w:rsid w:val="00444068"/>
    <w:rsid w:val="00444EC0"/>
    <w:rsid w:val="00447878"/>
    <w:rsid w:val="004731A1"/>
    <w:rsid w:val="00474C04"/>
    <w:rsid w:val="00485B61"/>
    <w:rsid w:val="00497AEB"/>
    <w:rsid w:val="004A278A"/>
    <w:rsid w:val="004A5C4B"/>
    <w:rsid w:val="004C47CF"/>
    <w:rsid w:val="004C4D11"/>
    <w:rsid w:val="004E18D0"/>
    <w:rsid w:val="004E3C60"/>
    <w:rsid w:val="004F3450"/>
    <w:rsid w:val="004F63DA"/>
    <w:rsid w:val="004F7B11"/>
    <w:rsid w:val="00500BC7"/>
    <w:rsid w:val="0050253A"/>
    <w:rsid w:val="00503077"/>
    <w:rsid w:val="00523F25"/>
    <w:rsid w:val="00531E5D"/>
    <w:rsid w:val="00534C79"/>
    <w:rsid w:val="00545523"/>
    <w:rsid w:val="00550449"/>
    <w:rsid w:val="0055323B"/>
    <w:rsid w:val="00556B6E"/>
    <w:rsid w:val="00562E7E"/>
    <w:rsid w:val="00581107"/>
    <w:rsid w:val="0059279E"/>
    <w:rsid w:val="00596A92"/>
    <w:rsid w:val="005B03C0"/>
    <w:rsid w:val="005B245C"/>
    <w:rsid w:val="005B5EBD"/>
    <w:rsid w:val="005C2C77"/>
    <w:rsid w:val="005D3692"/>
    <w:rsid w:val="005D7AA1"/>
    <w:rsid w:val="005E0200"/>
    <w:rsid w:val="005E0431"/>
    <w:rsid w:val="005E30FC"/>
    <w:rsid w:val="005F2092"/>
    <w:rsid w:val="005F6560"/>
    <w:rsid w:val="006101EC"/>
    <w:rsid w:val="00615C1C"/>
    <w:rsid w:val="006359E5"/>
    <w:rsid w:val="006373F0"/>
    <w:rsid w:val="00641C2F"/>
    <w:rsid w:val="00660719"/>
    <w:rsid w:val="00660B5E"/>
    <w:rsid w:val="00666430"/>
    <w:rsid w:val="00675F1D"/>
    <w:rsid w:val="0068056C"/>
    <w:rsid w:val="00693296"/>
    <w:rsid w:val="00696663"/>
    <w:rsid w:val="006A2AE1"/>
    <w:rsid w:val="006A4856"/>
    <w:rsid w:val="006A5891"/>
    <w:rsid w:val="006B0C0E"/>
    <w:rsid w:val="006B4A4A"/>
    <w:rsid w:val="006B4F67"/>
    <w:rsid w:val="006C4DD9"/>
    <w:rsid w:val="006C7EA3"/>
    <w:rsid w:val="006D018F"/>
    <w:rsid w:val="006D6A5F"/>
    <w:rsid w:val="006D6ADC"/>
    <w:rsid w:val="006D6EAD"/>
    <w:rsid w:val="006E3F01"/>
    <w:rsid w:val="006F0697"/>
    <w:rsid w:val="007077D9"/>
    <w:rsid w:val="00710C86"/>
    <w:rsid w:val="007155BB"/>
    <w:rsid w:val="0072297F"/>
    <w:rsid w:val="00723CA3"/>
    <w:rsid w:val="00723CC8"/>
    <w:rsid w:val="00735FEE"/>
    <w:rsid w:val="00740868"/>
    <w:rsid w:val="00740A22"/>
    <w:rsid w:val="00762CC1"/>
    <w:rsid w:val="00765D4B"/>
    <w:rsid w:val="00770876"/>
    <w:rsid w:val="00771A28"/>
    <w:rsid w:val="007720E8"/>
    <w:rsid w:val="00774F93"/>
    <w:rsid w:val="00790750"/>
    <w:rsid w:val="00797C02"/>
    <w:rsid w:val="007A5FB2"/>
    <w:rsid w:val="007A7A28"/>
    <w:rsid w:val="007B7DA7"/>
    <w:rsid w:val="007B7DBD"/>
    <w:rsid w:val="007C212D"/>
    <w:rsid w:val="007D1B95"/>
    <w:rsid w:val="007F10ED"/>
    <w:rsid w:val="007F37B5"/>
    <w:rsid w:val="007F58AE"/>
    <w:rsid w:val="00807753"/>
    <w:rsid w:val="008234B2"/>
    <w:rsid w:val="00827E48"/>
    <w:rsid w:val="00831888"/>
    <w:rsid w:val="0083594F"/>
    <w:rsid w:val="0085198D"/>
    <w:rsid w:val="0085564B"/>
    <w:rsid w:val="00862564"/>
    <w:rsid w:val="0087471C"/>
    <w:rsid w:val="00883835"/>
    <w:rsid w:val="00887947"/>
    <w:rsid w:val="00891B77"/>
    <w:rsid w:val="00893B40"/>
    <w:rsid w:val="008B735E"/>
    <w:rsid w:val="008C2088"/>
    <w:rsid w:val="008C7767"/>
    <w:rsid w:val="008D0B13"/>
    <w:rsid w:val="008D1C48"/>
    <w:rsid w:val="008D38C0"/>
    <w:rsid w:val="008E3E0D"/>
    <w:rsid w:val="008E44B3"/>
    <w:rsid w:val="008F3046"/>
    <w:rsid w:val="00900EBD"/>
    <w:rsid w:val="009057F1"/>
    <w:rsid w:val="00910CFB"/>
    <w:rsid w:val="00917EFA"/>
    <w:rsid w:val="0092305A"/>
    <w:rsid w:val="00931EFA"/>
    <w:rsid w:val="009474CF"/>
    <w:rsid w:val="009478A6"/>
    <w:rsid w:val="00960336"/>
    <w:rsid w:val="00964649"/>
    <w:rsid w:val="00967024"/>
    <w:rsid w:val="00976D53"/>
    <w:rsid w:val="00980C62"/>
    <w:rsid w:val="009845D5"/>
    <w:rsid w:val="00987722"/>
    <w:rsid w:val="00987F5A"/>
    <w:rsid w:val="00992917"/>
    <w:rsid w:val="00992EB6"/>
    <w:rsid w:val="0099482E"/>
    <w:rsid w:val="009B108C"/>
    <w:rsid w:val="009B343C"/>
    <w:rsid w:val="009B3B5B"/>
    <w:rsid w:val="009C6E1F"/>
    <w:rsid w:val="009D07D7"/>
    <w:rsid w:val="009D5CA5"/>
    <w:rsid w:val="009D66CD"/>
    <w:rsid w:val="009E6261"/>
    <w:rsid w:val="009F038E"/>
    <w:rsid w:val="009F63B4"/>
    <w:rsid w:val="009F6DCE"/>
    <w:rsid w:val="00A019B0"/>
    <w:rsid w:val="00A039C2"/>
    <w:rsid w:val="00A03C6D"/>
    <w:rsid w:val="00A05982"/>
    <w:rsid w:val="00A10B72"/>
    <w:rsid w:val="00A13BF0"/>
    <w:rsid w:val="00A272DF"/>
    <w:rsid w:val="00A27434"/>
    <w:rsid w:val="00A300AA"/>
    <w:rsid w:val="00A40BE5"/>
    <w:rsid w:val="00A420A2"/>
    <w:rsid w:val="00A426CB"/>
    <w:rsid w:val="00A57A9B"/>
    <w:rsid w:val="00A84B05"/>
    <w:rsid w:val="00A876E5"/>
    <w:rsid w:val="00A92606"/>
    <w:rsid w:val="00A92E18"/>
    <w:rsid w:val="00AA6E5A"/>
    <w:rsid w:val="00AB3B42"/>
    <w:rsid w:val="00AC375B"/>
    <w:rsid w:val="00AC71E1"/>
    <w:rsid w:val="00AD11C4"/>
    <w:rsid w:val="00AD3616"/>
    <w:rsid w:val="00AE5171"/>
    <w:rsid w:val="00B03EFE"/>
    <w:rsid w:val="00B0500B"/>
    <w:rsid w:val="00B1423F"/>
    <w:rsid w:val="00B1766C"/>
    <w:rsid w:val="00B17FA6"/>
    <w:rsid w:val="00B3003B"/>
    <w:rsid w:val="00B314CB"/>
    <w:rsid w:val="00B31D15"/>
    <w:rsid w:val="00B34A7D"/>
    <w:rsid w:val="00B36A80"/>
    <w:rsid w:val="00B47028"/>
    <w:rsid w:val="00B50E19"/>
    <w:rsid w:val="00B519D7"/>
    <w:rsid w:val="00B57D7F"/>
    <w:rsid w:val="00B735E7"/>
    <w:rsid w:val="00B84731"/>
    <w:rsid w:val="00B847AD"/>
    <w:rsid w:val="00B934C7"/>
    <w:rsid w:val="00B94A4A"/>
    <w:rsid w:val="00B9634F"/>
    <w:rsid w:val="00BA1938"/>
    <w:rsid w:val="00BB58C9"/>
    <w:rsid w:val="00BC4892"/>
    <w:rsid w:val="00BC77E4"/>
    <w:rsid w:val="00BD2508"/>
    <w:rsid w:val="00BD3439"/>
    <w:rsid w:val="00BD6423"/>
    <w:rsid w:val="00BE17A4"/>
    <w:rsid w:val="00C0095C"/>
    <w:rsid w:val="00C10550"/>
    <w:rsid w:val="00C2429F"/>
    <w:rsid w:val="00C2627D"/>
    <w:rsid w:val="00C27237"/>
    <w:rsid w:val="00C431F7"/>
    <w:rsid w:val="00C54A10"/>
    <w:rsid w:val="00C60D99"/>
    <w:rsid w:val="00C66514"/>
    <w:rsid w:val="00C7158C"/>
    <w:rsid w:val="00C809D2"/>
    <w:rsid w:val="00C81557"/>
    <w:rsid w:val="00C8700C"/>
    <w:rsid w:val="00C95D1D"/>
    <w:rsid w:val="00CA0DA2"/>
    <w:rsid w:val="00CA4406"/>
    <w:rsid w:val="00CA701F"/>
    <w:rsid w:val="00CA736F"/>
    <w:rsid w:val="00CA73B7"/>
    <w:rsid w:val="00CB1D48"/>
    <w:rsid w:val="00CB2D78"/>
    <w:rsid w:val="00CC08CB"/>
    <w:rsid w:val="00CC1FE2"/>
    <w:rsid w:val="00CD08AD"/>
    <w:rsid w:val="00CD5DAC"/>
    <w:rsid w:val="00CD6E45"/>
    <w:rsid w:val="00D166E1"/>
    <w:rsid w:val="00D174BF"/>
    <w:rsid w:val="00D20314"/>
    <w:rsid w:val="00D31F72"/>
    <w:rsid w:val="00D35584"/>
    <w:rsid w:val="00D35F81"/>
    <w:rsid w:val="00D36BE3"/>
    <w:rsid w:val="00D4162F"/>
    <w:rsid w:val="00D42FCC"/>
    <w:rsid w:val="00D43F9F"/>
    <w:rsid w:val="00D44211"/>
    <w:rsid w:val="00D45722"/>
    <w:rsid w:val="00D525ED"/>
    <w:rsid w:val="00D54C5B"/>
    <w:rsid w:val="00D55FF5"/>
    <w:rsid w:val="00D65758"/>
    <w:rsid w:val="00D677A0"/>
    <w:rsid w:val="00D83503"/>
    <w:rsid w:val="00D90FF6"/>
    <w:rsid w:val="00D9109F"/>
    <w:rsid w:val="00D9411E"/>
    <w:rsid w:val="00DA087F"/>
    <w:rsid w:val="00DA417D"/>
    <w:rsid w:val="00DA7BDC"/>
    <w:rsid w:val="00DB7A9E"/>
    <w:rsid w:val="00DC477B"/>
    <w:rsid w:val="00DC72BF"/>
    <w:rsid w:val="00DD040B"/>
    <w:rsid w:val="00DD222F"/>
    <w:rsid w:val="00DE1496"/>
    <w:rsid w:val="00DE398F"/>
    <w:rsid w:val="00DE654C"/>
    <w:rsid w:val="00DF08DF"/>
    <w:rsid w:val="00E05651"/>
    <w:rsid w:val="00E060B9"/>
    <w:rsid w:val="00E10C8E"/>
    <w:rsid w:val="00E227CB"/>
    <w:rsid w:val="00E2543F"/>
    <w:rsid w:val="00E42373"/>
    <w:rsid w:val="00E53E2A"/>
    <w:rsid w:val="00E6201C"/>
    <w:rsid w:val="00E63B0F"/>
    <w:rsid w:val="00E67767"/>
    <w:rsid w:val="00E72118"/>
    <w:rsid w:val="00E864BC"/>
    <w:rsid w:val="00E960BA"/>
    <w:rsid w:val="00EB08CA"/>
    <w:rsid w:val="00EB46ED"/>
    <w:rsid w:val="00EB490C"/>
    <w:rsid w:val="00EC2CCD"/>
    <w:rsid w:val="00EC3C90"/>
    <w:rsid w:val="00EC5956"/>
    <w:rsid w:val="00EC7A9F"/>
    <w:rsid w:val="00ED7D07"/>
    <w:rsid w:val="00EE6282"/>
    <w:rsid w:val="00EF3007"/>
    <w:rsid w:val="00EF630E"/>
    <w:rsid w:val="00F00CFB"/>
    <w:rsid w:val="00F01AEF"/>
    <w:rsid w:val="00F038BE"/>
    <w:rsid w:val="00F12C74"/>
    <w:rsid w:val="00F30E2F"/>
    <w:rsid w:val="00F35634"/>
    <w:rsid w:val="00F35B87"/>
    <w:rsid w:val="00F55D6B"/>
    <w:rsid w:val="00F57244"/>
    <w:rsid w:val="00F65169"/>
    <w:rsid w:val="00F7166F"/>
    <w:rsid w:val="00F71F8E"/>
    <w:rsid w:val="00F73F60"/>
    <w:rsid w:val="00F77826"/>
    <w:rsid w:val="00F920AE"/>
    <w:rsid w:val="00FB16E3"/>
    <w:rsid w:val="00FB3F78"/>
    <w:rsid w:val="00FB538C"/>
    <w:rsid w:val="00FB5953"/>
    <w:rsid w:val="00FC28F3"/>
    <w:rsid w:val="00FC59DE"/>
    <w:rsid w:val="00FC6D39"/>
    <w:rsid w:val="00FC76F4"/>
    <w:rsid w:val="00FE6E9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7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F0"/>
    <w:pPr>
      <w:keepNext/>
      <w:tabs>
        <w:tab w:val="left" w:pos="562"/>
        <w:tab w:val="center" w:pos="4535"/>
      </w:tabs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3BF0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1F72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13BF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3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A13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A13BF0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A13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DC4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4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9F6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23CC8"/>
    <w:pPr>
      <w:ind w:left="720"/>
      <w:contextualSpacing/>
    </w:pPr>
  </w:style>
  <w:style w:type="paragraph" w:styleId="a8">
    <w:name w:val="No Spacing"/>
    <w:uiPriority w:val="1"/>
    <w:qFormat/>
    <w:rsid w:val="00931E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5DA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uiPriority w:val="59"/>
    <w:rsid w:val="00740A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6101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101EC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7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F0"/>
    <w:pPr>
      <w:keepNext/>
      <w:tabs>
        <w:tab w:val="left" w:pos="562"/>
        <w:tab w:val="center" w:pos="4535"/>
      </w:tabs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3BF0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31F72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13BF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3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A13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A13BF0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13BF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A13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DC4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4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9F6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23CC8"/>
    <w:pPr>
      <w:ind w:left="720"/>
      <w:contextualSpacing/>
    </w:pPr>
  </w:style>
  <w:style w:type="paragraph" w:styleId="a8">
    <w:name w:val="No Spacing"/>
    <w:uiPriority w:val="1"/>
    <w:qFormat/>
    <w:rsid w:val="00931E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5DA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uiPriority w:val="59"/>
    <w:rsid w:val="00740A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6101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101E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C848-E5B2-4096-8204-D5C42FE4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2</cp:revision>
  <cp:lastPrinted>2023-10-20T11:50:00Z</cp:lastPrinted>
  <dcterms:created xsi:type="dcterms:W3CDTF">2025-02-19T14:09:00Z</dcterms:created>
  <dcterms:modified xsi:type="dcterms:W3CDTF">2025-02-19T14:09:00Z</dcterms:modified>
</cp:coreProperties>
</file>